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50BB" w14:textId="202E3BC6" w:rsidR="00EC5AD7" w:rsidRDefault="00456CFA" w:rsidP="0024481F">
      <w:pPr>
        <w:tabs>
          <w:tab w:val="left" w:leader="underscore" w:pos="3240"/>
        </w:tabs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ランサムウェア</w:t>
      </w:r>
      <w:r>
        <w:rPr>
          <w:rFonts w:hint="eastAsia"/>
        </w:rPr>
        <w:t>」</w:t>
      </w:r>
      <w:r>
        <w:rPr>
          <w:rFonts w:hint="eastAsia"/>
        </w:rPr>
        <w:t>について</w:t>
      </w:r>
      <w:r w:rsidR="00EC5AD7">
        <w:rPr>
          <w:rFonts w:hint="eastAsia"/>
        </w:rPr>
        <w:t>：グループ学習：</w:t>
      </w:r>
      <w:r w:rsidR="00EC5AD7">
        <w:rPr>
          <w:rFonts w:hint="eastAsia"/>
        </w:rPr>
        <w:t>A</w:t>
      </w:r>
      <w:r w:rsidR="00EC5AD7">
        <w:rPr>
          <w:rFonts w:hint="eastAsia"/>
        </w:rPr>
        <w:t>・</w:t>
      </w:r>
      <w:r w:rsidR="00EC5AD7">
        <w:t>B</w:t>
      </w:r>
      <w:r w:rsidR="00EC5AD7">
        <w:rPr>
          <w:rFonts w:hint="eastAsia"/>
        </w:rPr>
        <w:t>・</w:t>
      </w:r>
      <w:r w:rsidR="00EC5AD7">
        <w:t>C</w:t>
      </w:r>
      <w:r w:rsidR="00EC5AD7">
        <w:rPr>
          <w:rFonts w:hint="eastAsia"/>
        </w:rPr>
        <w:t>・</w:t>
      </w:r>
      <w:r w:rsidR="00EC5AD7">
        <w:t>D</w:t>
      </w:r>
      <w:r w:rsidR="00EC5AD7">
        <w:rPr>
          <w:rFonts w:hint="eastAsia"/>
        </w:rPr>
        <w:t>・</w:t>
      </w:r>
      <w:r w:rsidR="00EC5AD7">
        <w:t>E</w:t>
      </w:r>
      <w:r w:rsidR="00EC5AD7">
        <w:rPr>
          <w:rFonts w:hint="eastAsia"/>
        </w:rPr>
        <w:t>・</w:t>
      </w:r>
      <w:r w:rsidR="00EC5AD7">
        <w:t>F</w:t>
      </w:r>
      <w:r w:rsidR="00EC5AD7">
        <w:rPr>
          <w:rFonts w:hint="eastAsia"/>
        </w:rPr>
        <w:t>・</w:t>
      </w:r>
      <w:r w:rsidR="00EC5AD7">
        <w:rPr>
          <w:rFonts w:hint="eastAsia"/>
        </w:rPr>
        <w:t>G</w:t>
      </w:r>
      <w:r w:rsidR="00EC5AD7">
        <w:t xml:space="preserve"> </w:t>
      </w:r>
      <w:r w:rsidR="00EC5AD7">
        <w:rPr>
          <w:rFonts w:hint="eastAsia"/>
        </w:rPr>
        <w:t>班</w:t>
      </w:r>
    </w:p>
    <w:p w14:paraId="4D0CD94C" w14:textId="16CDF595" w:rsidR="00855B03" w:rsidRDefault="00CC7EC5" w:rsidP="00C666A0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 xml:space="preserve">Q1. </w:t>
      </w:r>
      <w:r w:rsidR="008B46E6">
        <w:rPr>
          <w:rFonts w:hint="eastAsia"/>
        </w:rPr>
        <w:t>ランサムウェアとは</w:t>
      </w:r>
      <w:r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56CFA" w:rsidRPr="00855B03" w14:paraId="414C9540" w14:textId="77777777" w:rsidTr="00C40FD7">
        <w:trPr>
          <w:trHeight w:val="1220"/>
        </w:trPr>
        <w:tc>
          <w:tcPr>
            <w:tcW w:w="5000" w:type="pct"/>
          </w:tcPr>
          <w:p w14:paraId="0B045C10" w14:textId="77777777" w:rsidR="00456CFA" w:rsidRPr="00855B03" w:rsidRDefault="00456CFA" w:rsidP="00782942">
            <w:pPr>
              <w:tabs>
                <w:tab w:val="left" w:leader="underscore" w:pos="3240"/>
              </w:tabs>
            </w:pPr>
          </w:p>
        </w:tc>
      </w:tr>
    </w:tbl>
    <w:p w14:paraId="00F90B7C" w14:textId="4A632B26" w:rsidR="00855B03" w:rsidRDefault="00CC7EC5" w:rsidP="00C666A0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 xml:space="preserve">Q2. </w:t>
      </w:r>
      <w:r w:rsidR="008B46E6">
        <w:rPr>
          <w:rFonts w:hint="eastAsia"/>
        </w:rPr>
        <w:t>ランサムウェアの感染経路にはどのようなものがあるか</w:t>
      </w:r>
      <w:r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55B03" w:rsidRPr="00855B03" w14:paraId="19873E31" w14:textId="77777777" w:rsidTr="008B46E6">
        <w:trPr>
          <w:trHeight w:val="397"/>
        </w:trPr>
        <w:tc>
          <w:tcPr>
            <w:tcW w:w="5000" w:type="pct"/>
          </w:tcPr>
          <w:p w14:paraId="7EB8FB22" w14:textId="77777777" w:rsidR="00855B03" w:rsidRPr="008B46E6" w:rsidRDefault="00855B03" w:rsidP="00F51009">
            <w:pPr>
              <w:tabs>
                <w:tab w:val="left" w:leader="underscore" w:pos="3240"/>
              </w:tabs>
            </w:pPr>
          </w:p>
        </w:tc>
      </w:tr>
      <w:tr w:rsidR="00B21ECD" w:rsidRPr="00855B03" w14:paraId="0395D3D2" w14:textId="77777777" w:rsidTr="008B46E6">
        <w:trPr>
          <w:trHeight w:val="397"/>
        </w:trPr>
        <w:tc>
          <w:tcPr>
            <w:tcW w:w="5000" w:type="pct"/>
          </w:tcPr>
          <w:p w14:paraId="4054783F" w14:textId="77777777" w:rsidR="00B21ECD" w:rsidRPr="008B46E6" w:rsidRDefault="00B21ECD" w:rsidP="00F51009">
            <w:pPr>
              <w:tabs>
                <w:tab w:val="left" w:leader="underscore" w:pos="3240"/>
              </w:tabs>
            </w:pPr>
          </w:p>
        </w:tc>
      </w:tr>
      <w:tr w:rsidR="00B21ECD" w:rsidRPr="00855B03" w14:paraId="0837A0E3" w14:textId="77777777" w:rsidTr="008B46E6">
        <w:trPr>
          <w:trHeight w:val="397"/>
        </w:trPr>
        <w:tc>
          <w:tcPr>
            <w:tcW w:w="5000" w:type="pct"/>
          </w:tcPr>
          <w:p w14:paraId="60F092AB" w14:textId="77777777" w:rsidR="00B21ECD" w:rsidRPr="008B46E6" w:rsidRDefault="00B21ECD" w:rsidP="00F51009">
            <w:pPr>
              <w:tabs>
                <w:tab w:val="left" w:leader="underscore" w:pos="3240"/>
              </w:tabs>
            </w:pPr>
          </w:p>
        </w:tc>
      </w:tr>
    </w:tbl>
    <w:p w14:paraId="6D3A4EF0" w14:textId="38D2AB89" w:rsidR="00855B03" w:rsidRDefault="00CC7EC5" w:rsidP="00C666A0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 xml:space="preserve">Q3. </w:t>
      </w:r>
      <w:r w:rsidR="005B32D8">
        <w:rPr>
          <w:rFonts w:hint="eastAsia"/>
        </w:rPr>
        <w:t>復旧に要した期間について、警察庁に回答のあったもののパーセントは</w:t>
      </w:r>
      <w:r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55B03" w:rsidRPr="00855B03" w14:paraId="680C3BF5" w14:textId="77777777" w:rsidTr="005B32D8">
        <w:trPr>
          <w:trHeight w:val="397"/>
        </w:trPr>
        <w:tc>
          <w:tcPr>
            <w:tcW w:w="5000" w:type="pct"/>
          </w:tcPr>
          <w:p w14:paraId="11759CC7" w14:textId="1655651D" w:rsidR="00855B03" w:rsidRPr="005B32D8" w:rsidRDefault="005B32D8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即時～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週間未満＝</w:t>
            </w:r>
          </w:p>
        </w:tc>
      </w:tr>
      <w:tr w:rsidR="005B32D8" w:rsidRPr="00855B03" w14:paraId="2ED88BD3" w14:textId="77777777" w:rsidTr="005B32D8">
        <w:trPr>
          <w:trHeight w:val="397"/>
        </w:trPr>
        <w:tc>
          <w:tcPr>
            <w:tcW w:w="5000" w:type="pct"/>
          </w:tcPr>
          <w:p w14:paraId="240A0117" w14:textId="07CCC221" w:rsidR="005B32D8" w:rsidRPr="005B32D8" w:rsidRDefault="005B32D8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週間以上～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か月未満＝</w:t>
            </w:r>
          </w:p>
        </w:tc>
      </w:tr>
      <w:tr w:rsidR="005B32D8" w:rsidRPr="00855B03" w14:paraId="43F2CA18" w14:textId="77777777" w:rsidTr="005B32D8">
        <w:trPr>
          <w:trHeight w:val="397"/>
        </w:trPr>
        <w:tc>
          <w:tcPr>
            <w:tcW w:w="5000" w:type="pct"/>
          </w:tcPr>
          <w:p w14:paraId="6D5729FD" w14:textId="16C24E62" w:rsidR="005B32D8" w:rsidRPr="005B32D8" w:rsidRDefault="005B32D8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か月以上＝</w:t>
            </w:r>
          </w:p>
        </w:tc>
      </w:tr>
    </w:tbl>
    <w:p w14:paraId="70F3448C" w14:textId="0E97CCFE" w:rsidR="00855B03" w:rsidRDefault="00CC7EC5" w:rsidP="00C666A0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 xml:space="preserve">Q4. </w:t>
      </w:r>
      <w:r w:rsidR="005B32D8">
        <w:rPr>
          <w:rFonts w:hint="eastAsia"/>
        </w:rPr>
        <w:t>調査・復旧費用</w:t>
      </w:r>
      <w:r w:rsidR="005B32D8">
        <w:rPr>
          <w:rFonts w:hint="eastAsia"/>
        </w:rPr>
        <w:t>について、警察庁に回答のあったもののパーセントは</w:t>
      </w:r>
      <w:r w:rsidR="005B32D8"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55B03" w:rsidRPr="00855B03" w14:paraId="6735B806" w14:textId="77777777" w:rsidTr="005B32D8">
        <w:trPr>
          <w:trHeight w:val="397"/>
        </w:trPr>
        <w:tc>
          <w:tcPr>
            <w:tcW w:w="5000" w:type="pct"/>
          </w:tcPr>
          <w:p w14:paraId="188952AF" w14:textId="09A169EB" w:rsidR="00855B03" w:rsidRPr="005B32D8" w:rsidRDefault="005B32D8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万円未満＝</w:t>
            </w:r>
          </w:p>
        </w:tc>
      </w:tr>
      <w:tr w:rsidR="005B32D8" w:rsidRPr="00855B03" w14:paraId="4ED65A16" w14:textId="77777777" w:rsidTr="005B32D8">
        <w:trPr>
          <w:trHeight w:val="397"/>
        </w:trPr>
        <w:tc>
          <w:tcPr>
            <w:tcW w:w="5000" w:type="pct"/>
          </w:tcPr>
          <w:p w14:paraId="3E57F171" w14:textId="4058EA31" w:rsidR="005B32D8" w:rsidRPr="005B32D8" w:rsidRDefault="005B32D8" w:rsidP="00F51009">
            <w:pPr>
              <w:tabs>
                <w:tab w:val="left" w:leader="underscore" w:pos="3240"/>
              </w:tabs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万円以上～</w:t>
            </w:r>
            <w:r>
              <w:rPr>
                <w:rFonts w:hint="eastAsia"/>
              </w:rPr>
              <w:t>1</w:t>
            </w:r>
            <w:r>
              <w:t>,000</w:t>
            </w:r>
            <w:r>
              <w:rPr>
                <w:rFonts w:hint="eastAsia"/>
              </w:rPr>
              <w:t>万円未満＝</w:t>
            </w:r>
          </w:p>
        </w:tc>
      </w:tr>
      <w:tr w:rsidR="005B32D8" w:rsidRPr="00855B03" w14:paraId="07149469" w14:textId="77777777" w:rsidTr="005B32D8">
        <w:trPr>
          <w:trHeight w:val="397"/>
        </w:trPr>
        <w:tc>
          <w:tcPr>
            <w:tcW w:w="5000" w:type="pct"/>
          </w:tcPr>
          <w:p w14:paraId="220A7AC5" w14:textId="4DE57394" w:rsidR="005B32D8" w:rsidRPr="005B32D8" w:rsidRDefault="00C04A35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1</w:t>
            </w:r>
            <w:r>
              <w:t>,000</w:t>
            </w:r>
            <w:r>
              <w:rPr>
                <w:rFonts w:hint="eastAsia"/>
              </w:rPr>
              <w:t>万円以上</w:t>
            </w:r>
            <w:r w:rsidR="005B32D8">
              <w:rPr>
                <w:rFonts w:hint="eastAsia"/>
              </w:rPr>
              <w:t>＝</w:t>
            </w:r>
          </w:p>
        </w:tc>
      </w:tr>
    </w:tbl>
    <w:p w14:paraId="5847E38D" w14:textId="2550E5C2" w:rsidR="00855B03" w:rsidRDefault="00CC7EC5" w:rsidP="00C666A0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 xml:space="preserve">Q5. </w:t>
      </w:r>
      <w:r w:rsidR="00D33A74">
        <w:rPr>
          <w:rFonts w:hint="eastAsia"/>
        </w:rPr>
        <w:t>バックアップについて、</w:t>
      </w:r>
      <w:r w:rsidR="00D33A74">
        <w:rPr>
          <w:rFonts w:hint="eastAsia"/>
        </w:rPr>
        <w:t>警察庁に回答のあったもののパーセントは</w:t>
      </w:r>
      <w:r w:rsidR="00D33A74"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55B03" w:rsidRPr="00855B03" w14:paraId="77D3097D" w14:textId="77777777" w:rsidTr="00D33A74">
        <w:trPr>
          <w:trHeight w:val="397"/>
        </w:trPr>
        <w:tc>
          <w:tcPr>
            <w:tcW w:w="5000" w:type="pct"/>
          </w:tcPr>
          <w:p w14:paraId="746C3FA8" w14:textId="118A1FB3" w:rsidR="00855B03" w:rsidRPr="00855B03" w:rsidRDefault="00D33A74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取得していた＝</w:t>
            </w:r>
          </w:p>
        </w:tc>
      </w:tr>
      <w:tr w:rsidR="00D33A74" w:rsidRPr="00855B03" w14:paraId="2D79B49F" w14:textId="77777777" w:rsidTr="00D33A74">
        <w:trPr>
          <w:trHeight w:val="397"/>
        </w:trPr>
        <w:tc>
          <w:tcPr>
            <w:tcW w:w="5000" w:type="pct"/>
          </w:tcPr>
          <w:p w14:paraId="11135392" w14:textId="31D44FAB" w:rsidR="00D33A74" w:rsidRPr="00855B03" w:rsidRDefault="00D33A74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取得していなかった</w:t>
            </w:r>
            <w:r>
              <w:rPr>
                <w:rFonts w:hint="eastAsia"/>
              </w:rPr>
              <w:t>＝</w:t>
            </w:r>
          </w:p>
        </w:tc>
      </w:tr>
      <w:tr w:rsidR="00D33A74" w:rsidRPr="00855B03" w14:paraId="626C3286" w14:textId="77777777" w:rsidTr="00D33A74">
        <w:trPr>
          <w:trHeight w:val="397"/>
        </w:trPr>
        <w:tc>
          <w:tcPr>
            <w:tcW w:w="5000" w:type="pct"/>
          </w:tcPr>
          <w:p w14:paraId="44072D93" w14:textId="599A7DE0" w:rsidR="00D33A74" w:rsidRPr="00855B03" w:rsidRDefault="00D33A74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バックアップから復元できた</w:t>
            </w:r>
            <w:r>
              <w:rPr>
                <w:rFonts w:hint="eastAsia"/>
              </w:rPr>
              <w:t>＝</w:t>
            </w:r>
          </w:p>
        </w:tc>
      </w:tr>
      <w:tr w:rsidR="00D33A74" w:rsidRPr="00855B03" w14:paraId="65308A13" w14:textId="77777777" w:rsidTr="00D33A74">
        <w:trPr>
          <w:trHeight w:val="397"/>
        </w:trPr>
        <w:tc>
          <w:tcPr>
            <w:tcW w:w="5000" w:type="pct"/>
          </w:tcPr>
          <w:p w14:paraId="4FBB72D1" w14:textId="03BF5751" w:rsidR="00D33A74" w:rsidRPr="00855B03" w:rsidRDefault="00D33A74" w:rsidP="00F51009">
            <w:pPr>
              <w:tabs>
                <w:tab w:val="left" w:leader="underscore" w:pos="3240"/>
              </w:tabs>
            </w:pPr>
            <w:r>
              <w:rPr>
                <w:rFonts w:hint="eastAsia"/>
              </w:rPr>
              <w:t>バックアップから復元できなかった</w:t>
            </w:r>
            <w:r>
              <w:rPr>
                <w:rFonts w:hint="eastAsia"/>
              </w:rPr>
              <w:t>＝</w:t>
            </w:r>
          </w:p>
        </w:tc>
      </w:tr>
    </w:tbl>
    <w:p w14:paraId="6CF86DF5" w14:textId="3D711DA5" w:rsidR="00D26628" w:rsidRDefault="00D26628" w:rsidP="00D26628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>Q</w:t>
      </w:r>
      <w:r>
        <w:t>6</w:t>
      </w:r>
      <w:r w:rsidRPr="00CC7EC5">
        <w:rPr>
          <w:rFonts w:hint="eastAsia"/>
        </w:rPr>
        <w:t xml:space="preserve">. </w:t>
      </w:r>
      <w:r w:rsidR="00B21ECD">
        <w:rPr>
          <w:rFonts w:hint="eastAsia"/>
        </w:rPr>
        <w:t>ランサムウェアの感染を防ぐための方法には、どのようなものがあるか？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56CFA" w:rsidRPr="00855B03" w14:paraId="5F703BAA" w14:textId="77777777" w:rsidTr="00C05942">
        <w:trPr>
          <w:trHeight w:val="1630"/>
        </w:trPr>
        <w:tc>
          <w:tcPr>
            <w:tcW w:w="5000" w:type="pct"/>
          </w:tcPr>
          <w:p w14:paraId="352B7690" w14:textId="48F70794" w:rsidR="00456CFA" w:rsidRPr="00855B03" w:rsidRDefault="00456CFA" w:rsidP="008E056E">
            <w:pPr>
              <w:tabs>
                <w:tab w:val="left" w:leader="underscore" w:pos="3240"/>
              </w:tabs>
            </w:pPr>
          </w:p>
        </w:tc>
      </w:tr>
    </w:tbl>
    <w:p w14:paraId="7CCF228C" w14:textId="4AC99F31" w:rsidR="00D26628" w:rsidRDefault="00D26628" w:rsidP="00D26628">
      <w:pPr>
        <w:tabs>
          <w:tab w:val="left" w:leader="underscore" w:pos="3240"/>
        </w:tabs>
        <w:snapToGrid w:val="0"/>
        <w:spacing w:beforeLines="50" w:before="200"/>
        <w:ind w:left="180" w:hangingChars="100" w:hanging="180"/>
      </w:pPr>
      <w:r w:rsidRPr="00CC7EC5">
        <w:rPr>
          <w:rFonts w:hint="eastAsia"/>
        </w:rPr>
        <w:t>Q</w:t>
      </w:r>
      <w:r>
        <w:t>7</w:t>
      </w:r>
      <w:r w:rsidRPr="00CC7EC5">
        <w:rPr>
          <w:rFonts w:hint="eastAsia"/>
        </w:rPr>
        <w:t xml:space="preserve">. </w:t>
      </w:r>
      <w:r w:rsidR="00086F32">
        <w:rPr>
          <w:rFonts w:hint="eastAsia"/>
        </w:rPr>
        <w:t>ランサムウェアに</w:t>
      </w:r>
      <w:r w:rsidR="00B21ECD">
        <w:rPr>
          <w:rFonts w:hint="eastAsia"/>
        </w:rPr>
        <w:t>感染してしまった場合の被害を最小限に防ぐための方法には、どのようなものがあるか</w:t>
      </w:r>
      <w:r w:rsidRPr="00CC7EC5">
        <w:rPr>
          <w:rFonts w:hint="eastAsia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56CFA" w:rsidRPr="00855B03" w14:paraId="47CFF64E" w14:textId="77777777" w:rsidTr="002D5BEF">
        <w:trPr>
          <w:trHeight w:val="1630"/>
        </w:trPr>
        <w:tc>
          <w:tcPr>
            <w:tcW w:w="5000" w:type="pct"/>
          </w:tcPr>
          <w:p w14:paraId="316D43D4" w14:textId="232DEDAD" w:rsidR="00456CFA" w:rsidRPr="00855B03" w:rsidRDefault="00456CFA" w:rsidP="008E056E">
            <w:pPr>
              <w:tabs>
                <w:tab w:val="left" w:leader="underscore" w:pos="3240"/>
              </w:tabs>
            </w:pPr>
          </w:p>
        </w:tc>
      </w:tr>
    </w:tbl>
    <w:p w14:paraId="40F3EA05" w14:textId="77777777" w:rsidR="00855B03" w:rsidRPr="00D26628" w:rsidRDefault="00855B03" w:rsidP="00B21ECD">
      <w:pPr>
        <w:tabs>
          <w:tab w:val="left" w:leader="underscore" w:pos="3240"/>
        </w:tabs>
      </w:pPr>
    </w:p>
    <w:sectPr w:rsidR="00855B03" w:rsidRPr="00D26628" w:rsidSect="008B46E6">
      <w:headerReference w:type="default" r:id="rId6"/>
      <w:pgSz w:w="11906" w:h="16838" w:code="9"/>
      <w:pgMar w:top="1440" w:right="1080" w:bottom="1440" w:left="1080" w:header="851" w:footer="992" w:gutter="0"/>
      <w:cols w:space="424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6317" w14:textId="77777777" w:rsidR="001D2CFB" w:rsidRDefault="001D2CFB" w:rsidP="00F206C1">
      <w:r>
        <w:separator/>
      </w:r>
    </w:p>
  </w:endnote>
  <w:endnote w:type="continuationSeparator" w:id="0">
    <w:p w14:paraId="0779FBBC" w14:textId="77777777" w:rsidR="001D2CFB" w:rsidRDefault="001D2CFB" w:rsidP="00F2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179E" w14:textId="77777777" w:rsidR="001D2CFB" w:rsidRDefault="001D2CFB" w:rsidP="00F206C1">
      <w:r>
        <w:separator/>
      </w:r>
    </w:p>
  </w:footnote>
  <w:footnote w:type="continuationSeparator" w:id="0">
    <w:p w14:paraId="1A5798AF" w14:textId="77777777" w:rsidR="001D2CFB" w:rsidRDefault="001D2CFB" w:rsidP="00F2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421" w14:textId="398BC705" w:rsidR="00F206C1" w:rsidRDefault="00F206C1" w:rsidP="00F206C1">
    <w:pPr>
      <w:pStyle w:val="a4"/>
      <w:tabs>
        <w:tab w:val="center" w:leader="underscore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1"/>
  <w:drawingGridHorizontalSpacing w:val="9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9"/>
    <w:rsid w:val="000250F9"/>
    <w:rsid w:val="0002566B"/>
    <w:rsid w:val="00057811"/>
    <w:rsid w:val="00086F32"/>
    <w:rsid w:val="00090863"/>
    <w:rsid w:val="00095296"/>
    <w:rsid w:val="000A2378"/>
    <w:rsid w:val="000D37D7"/>
    <w:rsid w:val="00104F3B"/>
    <w:rsid w:val="001334D4"/>
    <w:rsid w:val="00133838"/>
    <w:rsid w:val="00137B79"/>
    <w:rsid w:val="001758B3"/>
    <w:rsid w:val="00193D45"/>
    <w:rsid w:val="00195AA4"/>
    <w:rsid w:val="001971F9"/>
    <w:rsid w:val="001A262B"/>
    <w:rsid w:val="001C47F9"/>
    <w:rsid w:val="001D2CFB"/>
    <w:rsid w:val="001F66FF"/>
    <w:rsid w:val="002112D5"/>
    <w:rsid w:val="00220AC9"/>
    <w:rsid w:val="00237FE6"/>
    <w:rsid w:val="0024481F"/>
    <w:rsid w:val="00244B3D"/>
    <w:rsid w:val="00244E43"/>
    <w:rsid w:val="00256B92"/>
    <w:rsid w:val="00260C91"/>
    <w:rsid w:val="0026725B"/>
    <w:rsid w:val="00275908"/>
    <w:rsid w:val="00286382"/>
    <w:rsid w:val="002920B8"/>
    <w:rsid w:val="002F233F"/>
    <w:rsid w:val="003001A7"/>
    <w:rsid w:val="00307375"/>
    <w:rsid w:val="00354266"/>
    <w:rsid w:val="003633AC"/>
    <w:rsid w:val="0038380A"/>
    <w:rsid w:val="003B29B0"/>
    <w:rsid w:val="00403DC6"/>
    <w:rsid w:val="004071E7"/>
    <w:rsid w:val="00440635"/>
    <w:rsid w:val="00441278"/>
    <w:rsid w:val="00456CFA"/>
    <w:rsid w:val="004771F0"/>
    <w:rsid w:val="00502EE4"/>
    <w:rsid w:val="00535466"/>
    <w:rsid w:val="005365C2"/>
    <w:rsid w:val="005478E3"/>
    <w:rsid w:val="005A3869"/>
    <w:rsid w:val="005B32D8"/>
    <w:rsid w:val="005B34A5"/>
    <w:rsid w:val="005C4DC8"/>
    <w:rsid w:val="005D2E5B"/>
    <w:rsid w:val="005D7A80"/>
    <w:rsid w:val="005E4B51"/>
    <w:rsid w:val="005E534A"/>
    <w:rsid w:val="006143A0"/>
    <w:rsid w:val="0065292F"/>
    <w:rsid w:val="006C3389"/>
    <w:rsid w:val="006D4BC4"/>
    <w:rsid w:val="0078220C"/>
    <w:rsid w:val="0078396B"/>
    <w:rsid w:val="00791452"/>
    <w:rsid w:val="007D77F1"/>
    <w:rsid w:val="008028E9"/>
    <w:rsid w:val="00810E0C"/>
    <w:rsid w:val="0081695C"/>
    <w:rsid w:val="00845593"/>
    <w:rsid w:val="00855B03"/>
    <w:rsid w:val="008B2029"/>
    <w:rsid w:val="008B46E6"/>
    <w:rsid w:val="008E310F"/>
    <w:rsid w:val="00916B12"/>
    <w:rsid w:val="00932349"/>
    <w:rsid w:val="0096442B"/>
    <w:rsid w:val="009B1A44"/>
    <w:rsid w:val="009E498A"/>
    <w:rsid w:val="00A2644F"/>
    <w:rsid w:val="00A26D38"/>
    <w:rsid w:val="00A273B7"/>
    <w:rsid w:val="00A33893"/>
    <w:rsid w:val="00A53CB9"/>
    <w:rsid w:val="00A651E1"/>
    <w:rsid w:val="00A72C17"/>
    <w:rsid w:val="00A94EBC"/>
    <w:rsid w:val="00A97543"/>
    <w:rsid w:val="00AA4676"/>
    <w:rsid w:val="00AB7CD0"/>
    <w:rsid w:val="00AE3C4E"/>
    <w:rsid w:val="00B0557A"/>
    <w:rsid w:val="00B21ECD"/>
    <w:rsid w:val="00B303D0"/>
    <w:rsid w:val="00B52CD6"/>
    <w:rsid w:val="00B5338B"/>
    <w:rsid w:val="00B56106"/>
    <w:rsid w:val="00C04A35"/>
    <w:rsid w:val="00C459C9"/>
    <w:rsid w:val="00C666A0"/>
    <w:rsid w:val="00C72410"/>
    <w:rsid w:val="00C84A9D"/>
    <w:rsid w:val="00CB7E06"/>
    <w:rsid w:val="00CC7EC5"/>
    <w:rsid w:val="00CE6EC6"/>
    <w:rsid w:val="00D20E99"/>
    <w:rsid w:val="00D26628"/>
    <w:rsid w:val="00D33A74"/>
    <w:rsid w:val="00D40863"/>
    <w:rsid w:val="00D40C48"/>
    <w:rsid w:val="00D546C4"/>
    <w:rsid w:val="00D83B96"/>
    <w:rsid w:val="00D8531C"/>
    <w:rsid w:val="00D87FBF"/>
    <w:rsid w:val="00D9594B"/>
    <w:rsid w:val="00DB3341"/>
    <w:rsid w:val="00DD63CE"/>
    <w:rsid w:val="00DE13DB"/>
    <w:rsid w:val="00E224DB"/>
    <w:rsid w:val="00EB2EC5"/>
    <w:rsid w:val="00EC0FEF"/>
    <w:rsid w:val="00EC2CF0"/>
    <w:rsid w:val="00EC5AD7"/>
    <w:rsid w:val="00EE0BD6"/>
    <w:rsid w:val="00F00F70"/>
    <w:rsid w:val="00F0551E"/>
    <w:rsid w:val="00F206C1"/>
    <w:rsid w:val="00F208AA"/>
    <w:rsid w:val="00F2709E"/>
    <w:rsid w:val="00F3306C"/>
    <w:rsid w:val="00F35530"/>
    <w:rsid w:val="00F37636"/>
    <w:rsid w:val="00F42D1A"/>
    <w:rsid w:val="00F53046"/>
    <w:rsid w:val="00FB066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1F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48E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6C1"/>
    <w:rPr>
      <w:sz w:val="18"/>
    </w:rPr>
  </w:style>
  <w:style w:type="paragraph" w:styleId="a6">
    <w:name w:val="footer"/>
    <w:basedOn w:val="a"/>
    <w:link w:val="a7"/>
    <w:uiPriority w:val="99"/>
    <w:unhideWhenUsed/>
    <w:rsid w:val="00F20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6C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7">
      <a:majorFont>
        <a:latin typeface="Arial"/>
        <a:ea typeface="ＭＳ ゴシック"/>
        <a:cs typeface=""/>
      </a:majorFont>
      <a:minorFont>
        <a:latin typeface="Courier New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2023-05-23T05:27:00Z</dcterms:created>
  <dcterms:modified xsi:type="dcterms:W3CDTF">2023-05-23T06:29:00Z</dcterms:modified>
</cp:coreProperties>
</file>